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§331. Primary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Primary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§331. PRIMARY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