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Write-in candidates</w:t>
      </w:r>
    </w:p>
    <w:p>
      <w:pPr>
        <w:jc w:val="both"/>
        <w:spacing w:before="100" w:after="100"/>
        <w:ind w:start="360"/>
        <w:ind w:firstLine="360"/>
      </w:pPr>
      <w:r>
        <w:rPr/>
      </w:r>
      <w:r>
        <w:rPr/>
      </w:r>
      <w:r>
        <w:t xml:space="preserve">A person whose name will not appear on the printed primary ballot because that person did not file a petition and consent under </w:t>
      </w:r>
      <w:r>
        <w:t>sections 335</w:t>
      </w:r>
      <w:r>
        <w:t xml:space="preserve"> and </w:t>
      </w:r>
      <w:r>
        <w:t>336</w:t>
      </w:r>
      <w:r>
        <w:t xml:space="preserve">, but who fulfills the other qualifications under </w:t>
      </w:r>
      <w:r>
        <w:t>section 334</w:t>
      </w:r>
      <w:r>
        <w:t xml:space="preserve">, may be nominated at the primary election as a write-in candidate in accordance with </w:t>
      </w:r>
      <w:r>
        <w:t>section 723,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B,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§338. Write-in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Write-in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§338. WRITE-IN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