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A registered voter not enrolled in a political party may participate, subject to the restrictions of section 145, subsection 3,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§341. Unenrolled voter participation in primary elections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Unenrolled voter participation in primary elections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§341. UNENROLLED VOTER PARTICIPATION IN PRIMARY ELECTIONS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