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Qualification for presidential elector and county office</w:t>
      </w:r>
    </w:p>
    <w:p>
      <w:pPr>
        <w:jc w:val="both"/>
        <w:spacing w:before="100" w:after="100"/>
        <w:ind w:start="360"/>
        <w:ind w:firstLine="360"/>
      </w:pPr>
      <w:r>
        <w:rPr/>
      </w:r>
      <w:r>
        <w:rPr/>
      </w:r>
      <w:r>
        <w:t xml:space="preserve">A candidate for the office of presidential elector or any county office must be a resident of and a voter in the electoral division the candidate seeks to represent on the date established for filing nomination petitions in the year the candidate seeks election.  The elected official must maintain a voting residence in that electoral division during the elected official's term of office.</w:t>
      </w:r>
      <w:r>
        <w:t xml:space="preserve">  </w:t>
      </w:r>
      <w:r xmlns:wp="http://schemas.openxmlformats.org/drawingml/2010/wordprocessingDrawing" xmlns:w15="http://schemas.microsoft.com/office/word/2012/wordml">
        <w:rPr>
          <w:rFonts w:ascii="Arial" w:hAnsi="Arial" w:cs="Arial"/>
          <w:sz w:val="22"/>
          <w:szCs w:val="22"/>
        </w:rPr>
        <w:t xml:space="preserve">[RR 2019, c. 2, Pt. B,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§352. Qualification for presidential elector and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Qualification for presidential elector and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§352. QUALIFICATION FOR PRESIDENTIAL ELECTOR AND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