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604-A</w:t>
        <w:t xml:space="preserve">.  </w:t>
      </w:r>
      <w:r>
        <w:rPr>
          <w:b/>
        </w:rPr>
        <w:t xml:space="preserve">Flexibility for combining election ballots</w:t>
      </w:r>
    </w:p>
    <w:p>
      <w:pPr>
        <w:jc w:val="both"/>
        <w:spacing w:before="100" w:after="100"/>
        <w:ind w:start="360"/>
        <w:ind w:firstLine="360"/>
      </w:pPr>
      <w:r>
        <w:rPr/>
      </w:r>
      <w:r>
        <w:rPr/>
      </w:r>
      <w:r>
        <w:t xml:space="preserve">Notwithstanding any other provision of this Title, the Secretary of State may make suitable arrangement for the printing of candidate, referendum and municipal election ballots on a single ballot or ballot card used in conjunction with electronic voting systems or for the printing of candidate and referendum ballots on a single ballot for paper ballot voting systems.  The Secretary of State may only allow such a combination if the Secretary of State finds that it is in the interest of the election process and that it will not contribute to voter confusion or unreasonable administrative difficulties.</w:t>
      </w:r>
      <w:r>
        <w:t xml:space="preserve">  </w:t>
      </w:r>
      <w:r xmlns:wp="http://schemas.openxmlformats.org/drawingml/2010/wordprocessingDrawing" xmlns:w15="http://schemas.microsoft.com/office/word/2012/wordml">
        <w:rPr>
          <w:rFonts w:ascii="Arial" w:hAnsi="Arial" w:cs="Arial"/>
          <w:sz w:val="22"/>
          <w:szCs w:val="22"/>
        </w:rPr>
        <w:t xml:space="preserve">[PL 1997, c. 436,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§5 (NEW). PL 1997, c. 436,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§604-A. Flexibility for combining election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§604-A. Flexibility for combining election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§604-A. FLEXIBILITY FOR COMBINING ELECTION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