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§626. POLLING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