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633</w:t>
        <w:t xml:space="preserve">.  </w:t>
      </w:r>
      <w:r>
        <w:rPr>
          <w:b/>
        </w:rPr>
        <w:t xml:space="preserve">Election expenses</w:t>
      </w:r>
    </w:p>
    <w:p>
      <w:pPr>
        <w:jc w:val="both"/>
        <w:spacing w:before="100" w:after="100"/>
        <w:ind w:start="360"/>
        <w:ind w:firstLine="360"/>
      </w:pPr>
      <w:r>
        <w:rPr/>
      </w:r>
      <w:r>
        <w:rPr/>
      </w:r>
      <w:r>
        <w:t xml:space="preserve">Except for the added expenses incurred by a municipality under </w:t>
      </w:r>
      <w:r>
        <w:t>section 632</w:t>
      </w:r>
      <w:r>
        <w:t xml:space="preserve">, each municipality shall pay for the expense it incurs in calling, holding and reporting the results of an election.  The State shall pay for other election expenses incurred as a result of the performance by state officials of their duties under this Title.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§633. Election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§633. Election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§633. ELECTION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