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752-A</w:t>
        <w:t xml:space="preserve">.  </w:t>
      </w:r>
      <w:r>
        <w:rPr>
          <w:b/>
        </w:rPr>
        <w:t xml:space="preserve">Federal absentee ballot</w:t>
      </w:r>
    </w:p>
    <w:p>
      <w:pPr>
        <w:jc w:val="both"/>
        <w:spacing w:before="100" w:after="100"/>
        <w:ind w:start="360"/>
        <w:ind w:firstLine="360"/>
      </w:pPr>
      <w:r>
        <w:rPr/>
      </w:r>
      <w:r>
        <w:rPr/>
      </w:r>
      <w:r>
        <w:t xml:space="preserve">The federal write-in absentee ballot may be used in primary, general and special elections for state and federal offices by uniformed service voters or overseas voters who are qualified pursuant to </w:t>
      </w:r>
      <w:r>
        <w:t>section 751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516, §16 (NEW). PL 2003, c. 407,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§752-A. Federal absentee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§752-A. Federal absentee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§752-A. FEDERAL ABSENTEE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