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 Absentee ballots;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Absentee ballots;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§780. ABSENTEE BALLOTS;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