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§861. Application of provisions to voting by electronic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Application of provisions to voting by electronic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§861. APPLICATION OF PROVISIONS TO VOTING BY ELECTRONIC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