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Petition requirements for direct initiatives of legislation</w:t>
      </w:r>
    </w:p>
    <w:p>
      <w:pPr>
        <w:jc w:val="both"/>
        <w:spacing w:before="100" w:after="100"/>
        <w:ind w:start="360"/>
        <w:ind w:firstLine="360"/>
      </w:pPr>
      <w:r>
        <w:rPr/>
      </w:r>
      <w:r>
        <w:rPr/>
      </w:r>
      <w:r>
        <w:t xml:space="preserve">The following provisions apply to direct initiatives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2005, c. 356, §1 (NEW).]</w:t>
      </w:r>
    </w:p>
    <w:p>
      <w:pPr>
        <w:jc w:val="both"/>
        <w:spacing w:before="100" w:after="0"/>
        <w:ind w:start="360"/>
        <w:ind w:firstLine="360"/>
      </w:pPr>
      <w:r>
        <w:rPr>
          <w:b/>
        </w:rPr>
        <w:t>1</w:t>
        <w:t xml:space="preserve">.  </w:t>
      </w:r>
      <w:r>
        <w:rPr>
          <w:b/>
        </w:rPr>
        <w:t xml:space="preserve">Opportunity to read direct initiative summary.</w:t>
        <w:t xml:space="preserve"> </w:t>
      </w:r>
      <w:r>
        <w:t xml:space="preserve"> </w:t>
      </w:r>
      <w:r>
        <w:t xml:space="preserve">A person circulating a petition must provide the voter the opportunity to read the proposed direct initiative summary and fiscal impact statement required by </w:t>
      </w:r>
      <w:r>
        <w:t>section 901</w:t>
      </w:r>
      <w:r>
        <w:t xml:space="preserve"> prior to that voter signing the petition.  The summary presented to the voter must be as it appears on a publicly accessible website established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§5 (AMD).]</w:t>
      </w:r>
    </w:p>
    <w:p>
      <w:pPr>
        <w:jc w:val="both"/>
        <w:spacing w:before="100" w:after="0"/>
        <w:ind w:start="360"/>
        <w:ind w:firstLine="360"/>
      </w:pPr>
      <w:r>
        <w:rPr>
          <w:b/>
        </w:rPr>
        <w:t>2</w:t>
        <w:t xml:space="preserve">.  </w:t>
      </w:r>
      <w:r>
        <w:rPr>
          <w:b/>
        </w:rPr>
        <w:t xml:space="preserve">Required statements; placement of information.</w:t>
        <w:t xml:space="preserve"> </w:t>
      </w:r>
      <w:r>
        <w:t xml:space="preserve"> </w:t>
      </w:r>
      <w:r>
        <w:t xml:space="preserve">On each page of a petition that contains space intended for voter signatures, the Secretary of State shall include a space at the top right or left corner of each such page to be submitted to the voters, which must be filled in with the name of the circulator collecting signatures on that petition and a unique identifying number. On the first page of a petition only, the Secretary of State shall include the summary prepared under </w:t>
      </w:r>
      <w:r>
        <w:t>section 901, subsection 5</w:t>
      </w:r>
      <w:r>
        <w:t xml:space="preserve"> and the fiscal impact of the initiative as described in </w:t>
      </w:r>
      <w:r>
        <w:t>Title 1, section 353</w:t>
      </w:r>
      <w:r>
        <w:t xml:space="preserve"> directly below the following statement at the top of the petition in a type size of no less than 16 points:</w:t>
      </w:r>
    </w:p>
    <w:p xmlns:wp="http://schemas.openxmlformats.org/drawingml/2010/wordprocessingDrawing" xmlns:w15="http://schemas.microsoft.com/office/word/2012/wordml">
      <w:pPr>
        <w:spacing w:before="100" w:after="100"/>
        <w:ind w:start="864"/>
        <w:ind w:firstLine="0"/>
      </w:pPr>
      <w:r>
        <w:t xml:space="preserve">"Freedom of Citizen Information: Before a registered voter signs any initiative petition, signature gatherers must offer the voter the opportunity to read the proposed initiative summary and fiscal impact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356, §1 (NEW). PL 2007, c. 234, §4 (AMD). PL 2009, c. 341, §5 (AMD). PL 2009, c. 611, §1 (AMD). PL 2021, c. 570,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§901-A. Petition requirements for direct initiatives of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Petition requirements for direct initiatives of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§901-A. PETITION REQUIREMENTS FOR DIRECT INITIATIVES OF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