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907</w:t>
        <w:t xml:space="preserve">.  </w:t>
      </w:r>
      <w:r>
        <w:rPr>
          <w:b/>
        </w:rPr>
        <w:t xml:space="preserve">Public hearing on direct initiatives</w:t>
      </w:r>
    </w:p>
    <w:p>
      <w:pPr>
        <w:jc w:val="both"/>
        <w:spacing w:before="100" w:after="100"/>
        <w:ind w:start="360"/>
        <w:ind w:firstLine="360"/>
      </w:pPr>
      <w:r>
        <w:rPr/>
      </w:r>
      <w:r>
        <w:rPr/>
      </w:r>
      <w:r>
        <w:t xml:space="preserve">A petition for direct initiative of legislation under the Constitution of Maine, Article IV, Part Third, Section 18 that is determined valid by the Secretary of State pursuant to </w:t>
      </w:r>
      <w:r>
        <w:t>section 905, subsection 1</w:t>
      </w:r>
      <w:r>
        <w:t xml:space="preserve"> and is submitted to the Legislature in accordance with the procedure established in the Constitution of Maine, Article IV, Part Third, Section 18, Subsection 1 must be afforded a public hearing conducted by the joint standing committee of the Legislature having jurisdiction over the subject matter of the petition or by a special legislative committee established for that purpose by the Legislative Council.  The public hearing must be conducted in the same manner as other public hearings.  The requirement to hold a public hearing may be waived by a vote of 2/3 of the members present in each House of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152,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§907. Public hearing on direct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§907. Public hearing on direct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§907. PUBLIC HEARING ON DIRECT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