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DEFINITIONS AND CONSTRUCTION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jc w:val="both"/>
        <w:spacing w:before="100" w:after="100"/>
        <w:ind w:start="1080" w:hanging="720"/>
      </w:pPr>
      <w:r>
        <w:rPr>
          <w:b/>
        </w:rPr>
        <w:t>§</w:t>
        <w:t>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222 (AMD). PL 1985, c. 161, §5 (RP). </w:t>
      </w:r>
    </w:p>
    <w:p>
      <w:pPr>
        <w:jc w:val="both"/>
        <w:spacing w:before="100" w:after="100"/>
        <w:ind w:start="1080" w:hanging="720"/>
      </w:pPr>
      <w:r>
        <w:rPr>
          <w:b/>
        </w:rPr>
        <w:t>§</w:t>
        <w:t>3</w:t>
        <w:t xml:space="preserve">.  </w:t>
      </w:r>
      <w:r>
        <w:rPr>
          <w:b/>
        </w:rPr>
        <w:t xml:space="preserve">Date falling on holiday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DEFINITIONS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DEFINITIONS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 DEFINITIONS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