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256-A</w:t>
      </w:r>
    </w:p>
    <w:p>
      <w:pPr>
        <w:jc w:val="center"/>
        <w:ind w:start="360"/>
        <w:spacing w:before="300" w:after="300"/>
      </w:pPr>
      <w:r>
        <w:rPr>
          <w:b/>
        </w:rPr>
        <w:t xml:space="preserve">REPORTING OF FIREARM FATALITIES AND HOSPITALIZATIONS</w:t>
      </w:r>
    </w:p>
    <w:p>
      <w:pPr>
        <w:jc w:val="both"/>
        <w:spacing w:before="100" w:after="100"/>
        <w:ind w:start="1080" w:hanging="720"/>
      </w:pPr>
      <w:r>
        <w:rPr>
          <w:b/>
        </w:rPr>
        <w:t>§</w:t>
        <w:t>1425</w:t>
        <w:t xml:space="preserve">.  </w:t>
      </w:r>
      <w:r>
        <w:rPr>
          <w:b/>
        </w:rPr>
        <w:t xml:space="preserve">Annual report on firearm fatalities and hospitalizations</w:t>
      </w:r>
    </w:p>
    <w:p>
      <w:pPr>
        <w:jc w:val="both"/>
        <w:spacing w:before="100" w:after="100"/>
        <w:ind w:start="360"/>
        <w:ind w:firstLine="360"/>
      </w:pPr>
      <w:r>
        <w:rPr/>
      </w:r>
      <w:r>
        <w:rPr/>
      </w:r>
      <w:r>
        <w:t xml:space="preserve">Beginning January 1, 2022, the Director of the Maine Center for Disease Control and Prevention within the Department of Health and Human Services shall report annually to the joint standing committee of the Legislature having jurisdiction over health and human services matters on the following data:</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w:pPr>
        <w:jc w:val="both"/>
        <w:spacing w:before="100" w:after="100"/>
        <w:ind w:start="360"/>
        <w:ind w:firstLine="360"/>
      </w:pPr>
      <w:r>
        <w:rPr>
          <w:b/>
        </w:rPr>
        <w:t>1</w:t>
        <w:t xml:space="preserve">.  </w:t>
      </w:r>
      <w:r>
        <w:rPr>
          <w:b/>
        </w:rPr>
        <w:t xml:space="preserve">Firearm fatalities.</w:t>
        <w:t xml:space="preserve"> </w:t>
      </w:r>
      <w:r>
        <w:t xml:space="preserve"> </w:t>
      </w:r>
      <w:r>
        <w:t xml:space="preserve">Public health data concerning firearm fatalities in the State, separated by:</w:t>
      </w:r>
    </w:p>
    <w:p>
      <w:pPr>
        <w:jc w:val="both"/>
        <w:spacing w:before="100" w:after="0"/>
        <w:ind w:start="720"/>
      </w:pPr>
      <w:r>
        <w:rPr/>
        <w:t>A</w:t>
        <w:t xml:space="preserve">.  </w:t>
      </w:r>
      <w:r>
        <w:rPr/>
      </w:r>
      <w:r>
        <w:t xml:space="preserve">The number of homicides, including the number of homicides that were the result of domestic violence, further separated by the ages of the victims for each;</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w:pPr>
        <w:jc w:val="both"/>
        <w:spacing w:before="100" w:after="0"/>
        <w:ind w:start="720"/>
      </w:pPr>
      <w:r>
        <w:rPr/>
        <w:t>B</w:t>
        <w:t xml:space="preserve">.  </w:t>
      </w:r>
      <w:r>
        <w:rPr/>
      </w:r>
      <w:r>
        <w:t xml:space="preserve">Suicides, further separated by the ages of the victims; and</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w:pPr>
        <w:jc w:val="both"/>
        <w:spacing w:before="100" w:after="0"/>
        <w:ind w:start="720"/>
      </w:pPr>
      <w:r>
        <w:rPr/>
        <w:t>C</w:t>
        <w:t xml:space="preserve">.  </w:t>
      </w:r>
      <w:r>
        <w:rPr/>
      </w:r>
      <w:r>
        <w:t xml:space="preserve">Unintentional discharges, further separated by the ages of the victims; and</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369, §1 (NEW).]</w:t>
      </w:r>
    </w:p>
    <w:p>
      <w:pPr>
        <w:jc w:val="both"/>
        <w:spacing w:before="100" w:after="100"/>
        <w:ind w:start="360"/>
        <w:ind w:firstLine="360"/>
      </w:pPr>
      <w:r>
        <w:rPr>
          <w:b/>
        </w:rPr>
        <w:t>2</w:t>
        <w:t xml:space="preserve">.  </w:t>
      </w:r>
      <w:r>
        <w:rPr>
          <w:b/>
        </w:rPr>
        <w:t xml:space="preserve">Hospitalizations.</w:t>
        <w:t xml:space="preserve"> </w:t>
      </w:r>
      <w:r>
        <w:t xml:space="preserve"> </w:t>
      </w:r>
      <w:r>
        <w:t xml:space="preserve">Hospitalizations that occurred as a result of a firearm but did not result in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§32 (AMD).]</w:t>
      </w:r>
    </w:p>
    <w:p>
      <w:pPr>
        <w:jc w:val="both"/>
        <w:spacing w:before="100" w:after="100"/>
        <w:ind w:start="360"/>
        <w:ind w:firstLine="360"/>
      </w:pPr>
      <w:r>
        <w:rPr/>
      </w:r>
      <w:r>
        <w:rPr/>
      </w:r>
      <w:r>
        <w:t xml:space="preserve">The Commissioner of Public Safety, the Office of Chief Medical Examiner, the Office of the Attorney General and the Maine Health Data Organization shall assist the Director of the Maine Center for Disease Control and Prevention with the collection of the data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676, Pt. A, §32 (NEW).]</w:t>
      </w:r>
    </w:p>
    <w:p>
      <w:pPr>
        <w:jc w:val="both"/>
        <w:spacing w:before="100" w:after="100"/>
        <w:ind w:start="360"/>
        <w:ind w:firstLine="360"/>
      </w:pPr>
      <w:r>
        <w:rPr/>
      </w:r>
      <w:r>
        <w:rPr/>
      </w:r>
      <w:r>
        <w:t xml:space="preserve">The Director of the Maine Center for Disease Control and Prevention shall make the report required under this section publicly available.</w:t>
      </w:r>
      <w:r>
        <w:t xml:space="preserve">  </w:t>
      </w:r>
      <w:r xmlns:wp="http://schemas.openxmlformats.org/drawingml/2010/wordprocessingDrawing" xmlns:w15="http://schemas.microsoft.com/office/word/2012/wordml">
        <w:rPr>
          <w:rFonts w:ascii="Arial" w:hAnsi="Arial" w:cs="Arial"/>
          <w:sz w:val="22"/>
          <w:szCs w:val="22"/>
        </w:rPr>
        <w:t xml:space="preserve">[PL 2021, c. 676, Pt. A,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369, §1 (NEW). PL 2021, c. 676, Pt. A,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256-A. REPORTING OF FIREARM FATALITIES AND HOSPITALIZATIONS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256-A. REPORTING OF FIREARM FATALITIES AND HOSPITALIZATIONS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256-A. REPORTING OF FIREARM FATALITIES AND HOSPITALIZATIONS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