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402</w:t>
      </w:r>
    </w:p>
    <w:p>
      <w:pPr>
        <w:jc w:val="center"/>
        <w:ind w:start="360"/>
        <w:spacing w:before="300" w:after="300"/>
      </w:pPr>
      <w:r>
        <w:rPr>
          <w:b/>
        </w:rPr>
        <w:t xml:space="preserve">HOSPITAL ASSESSMENTS</w:t>
      </w:r>
    </w:p>
    <w:p>
      <w:pPr>
        <w:jc w:val="both"/>
        <w:spacing w:before="100" w:after="100"/>
        <w:ind w:start="1080" w:hanging="720"/>
      </w:pPr>
      <w:r>
        <w:rPr>
          <w:b/>
        </w:rPr>
        <w:t>§</w:t>
        <w:t>1731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1733</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jc w:val="both"/>
        <w:spacing w:before="100" w:after="100"/>
        <w:ind w:start="1080" w:hanging="720"/>
      </w:pPr>
      <w:r>
        <w:rPr>
          <w:b/>
        </w:rPr>
        <w:t>§</w:t>
        <w:t>1734</w:t>
        <w:t xml:space="preserve">.  </w:t>
      </w:r>
      <w:r>
        <w:rPr>
          <w:b/>
        </w:rPr>
        <w:t xml:space="preserve">Establishment of the Medical Care - Payments to Providers Special Revenue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402. HOSPITAL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402. HOSPITAL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402. HOSPITAL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