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853</w:t>
      </w:r>
    </w:p>
    <w:p>
      <w:pPr>
        <w:jc w:val="center"/>
        <w:ind w:start="360"/>
        <w:spacing w:before="300" w:after="300"/>
      </w:pPr>
      <w:r>
        <w:rPr>
          <w:b/>
        </w:rPr>
        <w:t xml:space="preserve">SOLICITATION OF CHARITABLE FUNDS</w:t>
      </w:r>
    </w:p>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853. SOLICITATION OF CHARITABLE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