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1317-C</w:t>
        <w:t xml:space="preserve">.  </w:t>
      </w:r>
      <w:r>
        <w:rPr>
          <w:b/>
        </w:rPr>
        <w:t xml:space="preserve">Screening by health care providers</w:t>
      </w:r>
    </w:p>
    <w:p>
      <w:pPr>
        <w:jc w:val="both"/>
        <w:spacing w:before="100" w:after="0"/>
        <w:ind w:start="360"/>
        <w:ind w:firstLine="360"/>
      </w:pPr>
      <w:r>
        <w:rPr>
          <w:b/>
        </w:rPr>
        <w:t>1</w:t>
        <w:t xml:space="preserve">.  </w:t>
      </w:r>
      <w:r>
        <w:rPr>
          <w:b/>
        </w:rPr>
        <w:t xml:space="preserve">Screening.</w:t>
        <w:t xml:space="preserve"> </w:t>
      </w:r>
      <w:r>
        <w:t xml:space="preserve"> </w:t>
      </w:r>
      <w:r>
        <w:t xml:space="preserve">All health care providers shall advise parents of the availability and advisability of screening their children for lead poisoning.  A health care program that receives funds from the State and has a child health component shall provide screening of children for lead poisoning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§2 (AMD); PL 2001, c. 683, §10 (AFF).]</w:t>
      </w:r>
    </w:p>
    <w:p>
      <w:pPr>
        <w:jc w:val="both"/>
        <w:spacing w:before="100" w:after="0"/>
        <w:ind w:start="360"/>
        <w:ind w:firstLine="360"/>
      </w:pPr>
      <w:r>
        <w:rPr>
          <w:b/>
        </w:rPr>
        <w:t>2</w:t>
        <w:t xml:space="preserve">.  </w:t>
      </w:r>
      <w:r>
        <w:rPr>
          <w:b/>
        </w:rPr>
        <w:t xml:space="preserve">Data.</w:t>
        <w:t xml:space="preserve"> </w:t>
      </w:r>
      <w:r>
        <w:t xml:space="preserve"> </w:t>
      </w:r>
      <w:r>
        <w:t xml:space="preserve">At least annually, the department shall analyze and summarize lead-screening information provided by health care providers, facilities and programs and provide the information to other state and local agencies involved in lead-poisoning issues.  The information must also be provided to interested parties on request in a format that is easily understood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§1 (AMD).]</w:t>
      </w:r>
    </w:p>
    <w:p>
      <w:pPr>
        <w:jc w:val="both"/>
        <w:spacing w:before="100" w:after="0"/>
        <w:ind w:start="360"/>
        <w:ind w:firstLine="360"/>
      </w:pPr>
      <w:r>
        <w:rPr>
          <w:b/>
        </w:rPr>
        <w:t>3</w:t>
        <w:t xml:space="preserve">.  </w:t>
      </w:r>
      <w:r>
        <w:rPr>
          <w:b/>
        </w:rPr>
        <w:t xml:space="preserve">Confidentiality.</w:t>
        <w:t xml:space="preserve"> </w:t>
      </w:r>
      <w:r>
        <w:t xml:space="preserve"> </w:t>
      </w:r>
      <w:r>
        <w:t xml:space="preserve">Unless otherwise authorized by </w:t>
      </w:r>
      <w:r>
        <w:t>section 42, subsection 5</w:t>
      </w:r>
      <w:r>
        <w:t xml:space="preserve">, the department may not release any information described in </w:t>
      </w:r>
      <w:r>
        <w:t>subsection 2</w:t>
      </w:r>
      <w:r>
        <w:t xml:space="preserve"> regarding the screening of children for lead poisoning or the source of any lead exposure if that information identifies children, families or other persons, directly or indirectly.  The department may disclose information that relates to the address of a residential unit in which an environmental lead hazard or case of lead poisoning has been identified if the disclosure contains only the information necessary to advance the public health and does not directly identify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§23 (NEW). PL 2001, c. 683, §2 (AMD). PL 2001, c. 683, §10 (AFF). PL 2007, c. 628,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§1317-C. Screening by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§1317-C. Screening by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§1317-C. SCREENING BY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