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health and human services matters whenever the federal Department of Health and Human Services, Centers for Disease Control and Prevention adopts a new blood lead reference level based on the 97.5th percentile of blood lead levels in children established by a national health and nutrition examination survey.</w:t>
      </w:r>
      <w:r>
        <w:t xml:space="preserve">  </w:t>
      </w:r>
      <w:r xmlns:wp="http://schemas.openxmlformats.org/drawingml/2010/wordprocessingDrawing" xmlns:w15="http://schemas.microsoft.com/office/word/2012/wordml">
        <w:rPr>
          <w:rFonts w:ascii="Arial" w:hAnsi="Arial" w:cs="Arial"/>
          <w:sz w:val="22"/>
          <w:szCs w:val="22"/>
        </w:rPr>
        <w:t xml:space="preserve">[PL 2019,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§1330.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§1330.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