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1471-E</w:t>
        <w:t xml:space="preserve">.  </w:t>
      </w:r>
      <w:r>
        <w:rPr>
          <w:b/>
        </w:rPr>
        <w:t xml:space="preserve">Aquatic application, permit required</w:t>
      </w:r>
    </w:p>
    <w:p>
      <w:pPr>
        <w:jc w:val="both"/>
        <w:spacing w:before="100" w:after="100"/>
        <w:ind w:start="360"/>
        <w:ind w:firstLine="360"/>
      </w:pPr>
      <w:r>
        <w:rPr/>
      </w:r>
      <w:r>
        <w:rPr/>
      </w:r>
      <w:r>
        <w:t xml:space="preserve">No person shall apply or cause to be applied a pesticide to the waters of the State without obtaining a waste discharge license from the Department of Environmental Protection pursuant to </w:t>
      </w:r>
      <w:r>
        <w:t>Title 38, chapter 3, subchapter I, Article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281,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1977, c. 20, §4 (AMD). PL 1979, c. 281,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§1471-E. Aquatic application, permit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§1471-E. Aquatic application, permit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§1471-E. AQUATIC APPLICATION, PERMIT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