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1471-V</w:t>
        <w:t xml:space="preserve">.  </w:t>
      </w:r>
      <w:r>
        <w:rPr>
          <w:b/>
        </w:rPr>
        <w:t xml:space="preserve">Local participation</w:t>
      </w:r>
    </w:p>
    <w:p>
      <w:pPr>
        <w:jc w:val="both"/>
        <w:spacing w:before="100" w:after="0"/>
        <w:ind w:start="360"/>
        <w:ind w:firstLine="360"/>
      </w:pPr>
      <w:r>
        <w:rPr>
          <w:b/>
        </w:rPr>
        <w:t>l</w:t>
        <w:t xml:space="preserve">.  </w:t>
      </w:r>
      <w:r>
        <w:rPr>
          <w:b/>
        </w:rPr>
        <w:t xml:space="preserve">Representation.</w:t>
        <w:t xml:space="preserve"> </w:t>
      </w:r>
      <w:r>
        <w:t xml:space="preserve"> </w:t>
      </w:r>
      <w:r>
        <w:t xml:space="preserve">When the board, under </w:t>
      </w:r>
      <w:r>
        <w:t>section 1471‑M</w:t>
      </w:r>
      <w:r>
        <w:t xml:space="preserve">, considers the designation of a critical area or the establishment of a pesticide management plan for a critical area, the municipal officers of any affected municipality, or county commissioners in the case of unorganized territories, shall be given the opportunity to select a local representative to serve as an additional board member. For a given action, there shall be only one local representative who shall represent the affected municipality or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702, §6 (NEW).]</w:t>
      </w:r>
    </w:p>
    <w:p>
      <w:pPr>
        <w:jc w:val="both"/>
        <w:spacing w:before="100" w:after="0"/>
        <w:ind w:start="360"/>
        <w:ind w:firstLine="360"/>
      </w:pPr>
      <w:r>
        <w:rPr>
          <w:b/>
        </w:rPr>
        <w:t>2</w:t>
        <w:t xml:space="preserve">.  </w:t>
      </w:r>
      <w:r>
        <w:rPr>
          <w:b/>
        </w:rPr>
        <w:t xml:space="preserve">Participation and voting procedure.</w:t>
        <w:t xml:space="preserve"> </w:t>
      </w:r>
      <w:r>
        <w:t xml:space="preserve"> </w:t>
      </w:r>
      <w:r>
        <w:t xml:space="preserve">A local representative appointed under this section may participate officially and vote in deliberations on the designation of a critical area or on the establishment of a pesticide management plan only for a critical area which is in the municipality or unorganized territory represented.  A local representative may participate on the board until final designation of the critical area or final establishment of the pesticide management plan, including any administrative or judicial appeals.  When the board considers a proposed critical area or pesticide management plan that affects more than one municipality, the board shall take separate action on the portion in each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702, §6 (NEW).]</w:t>
      </w:r>
    </w:p>
    <w:p>
      <w:pPr>
        <w:jc w:val="both"/>
        <w:spacing w:before="100" w:after="0"/>
        <w:ind w:start="360"/>
        <w:ind w:firstLine="360"/>
      </w:pPr>
      <w:r>
        <w:rPr>
          <w:b/>
        </w:rPr>
        <w:t>3</w:t>
        <w:t xml:space="preserve">.  </w:t>
      </w:r>
      <w:r>
        <w:rPr>
          <w:b/>
        </w:rPr>
        <w:t xml:space="preserve">Compensation.</w:t>
        <w:t xml:space="preserve"> </w:t>
      </w:r>
      <w:r>
        <w:t xml:space="preserve"> </w:t>
      </w:r>
      <w:r>
        <w:t xml:space="preserve">Local representatives shall be reimbursed only for expenses as regular board members during the period of their service, to be paid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702,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§1471-V. Local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§1471-V. Local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§1471-V. LOCAL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