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Appeal decision of District Court</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imposing any forfeiture or fine or in revoking or suspending a license issued by the department or by refusal of the department to issue a license applied for may appeal to the Superior Court by filing a complaint within 30 days of the decision or refusal.</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The effective date of the suspension or revocation in the case of a license revocation or suspension; or</w:t>
      </w:r>
    </w:p>
    <w:p>
      <w:pPr>
        <w:jc w:val="both"/>
        <w:spacing w:before="100" w:after="0"/>
        <w:ind w:start="1080"/>
      </w:pPr>
      <w:r>
        <w:rPr/>
        <w:t>(</w:t>
        <w:t>2</w:t>
        <w:t xml:space="preserve">)  </w:t>
      </w:r>
      <w:r>
        <w:rPr/>
      </w:r>
      <w:r>
        <w:t xml:space="preserve">The day when the department sends notice of refusal, by registered or certified mail, to the applicant for a license in the case of refusal by the department to issue a license.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Filing the complaint in Superior Court suspends the running of the 30-day period.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If the licensee files an appeal in the Superior Court and notifies the District Court that the appeal has been filed within 7 days of the mailing of the decision of the District Court required in </w:t>
      </w:r>
      <w:r>
        <w:t>section 1558‑A, subsection 3</w:t>
      </w:r>
      <w:r>
        <w:t xml:space="preserve">, the operation of a suspension or revocation of a license imposed by the District Court must be suspended, pending judgment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§23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after consideration, may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559,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§1559. Appeal decision of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Appeal decision of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§1559. APPEAL DECISION OF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