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1584</w:t>
        <w:t xml:space="preserve">.  </w:t>
      </w:r>
      <w:r>
        <w:rPr>
          <w:b/>
        </w:rPr>
        <w:t xml:space="preserve">Fees</w:t>
      </w:r>
    </w:p>
    <w:p>
      <w:pPr>
        <w:jc w:val="both"/>
        <w:spacing w:before="100" w:after="100"/>
        <w:ind w:start="360"/>
        <w:ind w:firstLine="360"/>
      </w:pPr>
      <w:r>
        <w:rPr/>
      </w:r>
      <w:r>
        <w:rPr/>
      </w:r>
      <w:r>
        <w:t xml:space="preserve">All fees shall be collected by the department and remitted to the Treasurer of State and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1977, c. 696, §185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§1584.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