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16-A</w:t>
        <w:t xml:space="preserve">.  </w:t>
      </w:r>
      <w:r>
        <w:rPr>
          <w:b/>
        </w:rPr>
        <w:t xml:space="preserve">Mandatory insurance data matches</w:t>
      </w:r>
    </w:p>
    <w:p>
      <w:pPr>
        <w:jc w:val="both"/>
        <w:spacing w:before="100" w:after="0"/>
        <w:ind w:start="360"/>
        <w:ind w:firstLine="360"/>
      </w:pPr>
      <w:r>
        <w:rPr>
          <w:b/>
        </w:rPr>
        <w:t>1</w:t>
        <w:t xml:space="preserve">.  </w:t>
      </w:r>
      <w:r>
        <w:rPr>
          <w:b/>
        </w:rPr>
        <w:t xml:space="preserve">Persons receiving MaineCare benefits.</w:t>
        <w:t xml:space="preserve"> </w:t>
      </w:r>
      <w:r>
        <w:t xml:space="preserve"> </w:t>
      </w:r>
      <w:r>
        <w:t xml:space="preserve">Upon request by the department in order to identify persons who have been employed in the State or who have been employers in the State or who received monetary benefits of any kind from a state agency, all state agencies shall provide to the department information about persons who have been receiving, are currently receiving or are legally responsible for some or all of the medical expenses of an individual who is receiving MaineCare benefits.  The information must be transmitted promptly in response to the department's request and must be provided in a manner that allows the department's electronic identification of former or current MaineCare members who had or have income during any period of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§3 (NEW).]</w:t>
      </w:r>
    </w:p>
    <w:p>
      <w:pPr>
        <w:jc w:val="both"/>
        <w:spacing w:before="100" w:after="0"/>
        <w:ind w:start="360"/>
        <w:ind w:firstLine="360"/>
      </w:pPr>
      <w:r>
        <w:rPr>
          <w:b/>
        </w:rPr>
        <w:t>2</w:t>
        <w:t xml:space="preserve">.  </w:t>
      </w:r>
      <w:r>
        <w:rPr>
          <w:b/>
        </w:rPr>
        <w:t xml:space="preserve">Persons with health insurance coverage.</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the organization or insurer.  The information must be transmitted promptly in response to the department's request and must be provided in a manner that allows the department's electronic identification of former or current MaineCare members who had or have health insurance coverage during any period of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§16-A. Mandatory insurance data matches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§16-A. Mandatory insurance data matches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§16-A. MANDATORY INSURANCE DATA MATCHES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