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Application</w:t>
      </w:r>
    </w:p>
    <w:p>
      <w:pPr>
        <w:jc w:val="both"/>
        <w:spacing w:before="100" w:after="100"/>
        <w:ind w:start="360"/>
        <w:ind w:firstLine="360"/>
      </w:pPr>
      <w:r>
        <w:rPr/>
      </w:r>
      <w:r>
        <w:rPr/>
      </w:r>
      <w:r>
        <w:t xml:space="preserve">This chapter does not apply to fairs licensed, defined and regulated under </w:t>
      </w:r>
      <w:r>
        <w:t>Title 7, chapter 4</w:t>
      </w:r>
      <w:r>
        <w:t xml:space="preserve">, or military activities. It does not apply to persons, associations, corporations, trusts or partnerships licensed under </w:t>
      </w:r>
      <w:r>
        <w:t>Title 8, chapters 11</w:t>
      </w:r>
      <w:r>
        <w:t xml:space="preserve"> and </w:t>
      </w:r>
      <w:r>
        <w:t>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§7 (AMD). PL 1987, c. 395, §A88 (AMD). PL 2005, c. 563, §15 (AMD). PL 2013, c. 595, Pt. U, §8 (AMD). PL 2015, c. 148,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