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§1632. ENCLOSURE OF SWIMMING POOL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