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Penalty</w:t>
      </w:r>
    </w:p>
    <w:p>
      <w:pPr>
        <w:jc w:val="both"/>
        <w:spacing w:before="100" w:after="100"/>
        <w:ind w:start="360"/>
        <w:ind w:firstLine="360"/>
      </w:pPr>
      <w:r>
        <w:rPr/>
      </w:r>
      <w:r>
        <w:rPr/>
      </w:r>
      <w:r>
        <w:t xml:space="preserve">A person who does not comply with this chapter within 30 days after receiving written notice that the person is in violation of its provisions commits a civil violation for which a fine of not more than $500 may be adjudged. Each day a violation continues is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RR 2021, c. 2, Pt. B,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§1633.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