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1646</w:t>
        <w:t xml:space="preserve">.  </w:t>
      </w:r>
      <w:r>
        <w:rPr>
          <w:b/>
        </w:rPr>
        <w:t xml:space="preserve">Lyme disease testing information disclosure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"health care provider" means a physician, hospital or person that is licensed or otherwise authorized in this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w:pPr>
        <w:jc w:val="both"/>
        <w:spacing w:before="100" w:after="0"/>
        <w:ind w:start="360"/>
        <w:ind w:firstLine="360"/>
      </w:pPr>
      <w:r>
        <w:rPr>
          <w:b/>
        </w:rPr>
        <w:t>2</w:t>
        <w:t xml:space="preserve">.  </w:t>
      </w:r>
      <w:r>
        <w:rPr>
          <w:b/>
        </w:rPr>
        <w:t xml:space="preserve">Lyme disease testing information disclosure.</w:t>
        <w:t xml:space="preserve"> </w:t>
      </w:r>
      <w:r>
        <w:t xml:space="preserve"> </w:t>
      </w:r>
      <w:r>
        <w:t xml:space="preserve">Every health care provider that orders a laboratory test for the presence of Lyme disease shall provide the patient with a copy of the results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§1646. Lyme disease testing information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§1646. Lyme disease testing information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§1646. LYME DISEASE TESTING INFORMATION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