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1689-B</w:t>
        <w:t xml:space="preserve">.  </w:t>
      </w:r>
      <w:r>
        <w:rPr>
          <w:b/>
        </w:rPr>
        <w:t xml:space="preserve">Enforcement</w:t>
      </w:r>
    </w:p>
    <w:p>
      <w:pPr>
        <w:jc w:val="both"/>
        <w:spacing w:before="100" w:after="100"/>
        <w:ind w:start="360"/>
        <w:ind w:firstLine="360"/>
      </w:pPr>
      <w:r>
        <w:rPr/>
      </w:r>
      <w:r>
        <w:rPr/>
      </w:r>
      <w:r>
        <w:t xml:space="preserve">This chapter is enforced by the Department of Health and Human Services, Division of Health Engineering.</w:t>
      </w:r>
      <w:r>
        <w:t xml:space="preserve">  </w:t>
      </w:r>
      <w:r xmlns:wp="http://schemas.openxmlformats.org/drawingml/2010/wordprocessingDrawing" xmlns:w15="http://schemas.microsoft.com/office/word/2012/wordml">
        <w:rPr>
          <w:rFonts w:ascii="Arial" w:hAnsi="Arial" w:cs="Arial"/>
          <w:sz w:val="22"/>
          <w:szCs w:val="22"/>
        </w:rPr>
        <w:t xml:space="preserve">[PL 1991, c. 455, Pt. A,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§A2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§1689-B.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§1689-B.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§1689-B.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