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1718-E</w:t>
        <w:t xml:space="preserve">.  </w:t>
      </w:r>
      <w:r>
        <w:rPr>
          <w:b/>
        </w:rPr>
        <w:t xml:space="preserve">Prohibition on fees for transferring a patient or a patient's medical records</w:t>
      </w:r>
    </w:p>
    <w:p>
      <w:pPr>
        <w:jc w:val="both"/>
        <w:spacing w:before="100" w:after="100"/>
        <w:ind w:start="360"/>
        <w:ind w:firstLine="360"/>
      </w:pPr>
      <w:r>
        <w:rPr/>
      </w:r>
      <w:r>
        <w:rPr/>
      </w:r>
      <w:r>
        <w:t xml:space="preserve">A health care entity, as defined in </w:t>
      </w:r>
      <w:r>
        <w:t>section 1718‑B, subsection 1, paragraph B</w:t>
      </w:r>
      <w:r>
        <w:t xml:space="preserve">, may not require any fee or other payment from any patient for the transfer of a patient between health care entities or for the transfer of any medical records related to a patient between health care entities unless the fee or other payment is disclosed to the patient and is directly related to the costs associated with establishing the patient as a patient of the health care entity or transferring that patient's medical records.  This section does not prohibit the use of current procedural technology codes used by the American Medical Association for new office visits that include the cost of care.</w:t>
      </w:r>
      <w:r>
        <w:t xml:space="preserve">  </w:t>
      </w:r>
      <w:r xmlns:wp="http://schemas.openxmlformats.org/drawingml/2010/wordprocessingDrawing" xmlns:w15="http://schemas.microsoft.com/office/word/2012/wordml">
        <w:rPr>
          <w:rFonts w:ascii="Arial" w:hAnsi="Arial" w:cs="Arial"/>
          <w:sz w:val="22"/>
          <w:szCs w:val="22"/>
        </w:rPr>
        <w:t xml:space="preserve">[PL 2019, c. 670,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§1718-E. Prohibition on fees for transferring a patient or a patient's medical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§1718-E. Prohibition on fees for transferring a patient or a patient's medical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§1718-E. PROHIBITION ON FEES FOR TRANSFERRING A PATIENT OR A PATIENT'S MEDICAL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