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Treatment of minors</w:t>
      </w:r>
    </w:p>
    <w:p>
      <w:pPr>
        <w:jc w:val="both"/>
        <w:spacing w:before="100" w:after="100"/>
        <w:ind w:start="360"/>
        <w:ind w:firstLine="360"/>
      </w:pPr>
      <w:r>
        <w:rPr/>
      </w:r>
      <w:r>
        <w:rPr/>
      </w:r>
      <w:r>
        <w:t xml:space="preserve">Any hospital licensed under this chapter or alcohol or drug treatment facility licensed pursuant to </w:t>
      </w:r>
      <w:r>
        <w:t>section 7801</w:t>
      </w:r>
      <w:r>
        <w:t xml:space="preserve"> that provides facilities to a minor in connection with the prevention of a sexually transmitted infection or the treatment of that minor for a sexually transmitted infection or treatment of that minor for substance use or for the collection of sexual assault evidence through a sexual assault forensic examination is under no obligation to obtain the consent of that minor's parent or guardian or to inform that parent or guardian of the provision of such facilities so long as such facilities have been provided at the direction of the person or persons referred to in </w:t>
      </w:r>
      <w:r>
        <w:t>Title 32, sections 2595</w:t>
      </w:r>
      <w:r>
        <w:t xml:space="preserve">, </w:t>
      </w:r>
      <w:r>
        <w:t>3292</w:t>
      </w:r>
      <w:r>
        <w:t xml:space="preserve">, </w:t>
      </w:r>
      <w:r>
        <w:t>3817</w:t>
      </w:r>
      <w:r>
        <w:t xml:space="preserve">, </w:t>
      </w:r>
      <w:r>
        <w:t>6221</w:t>
      </w:r>
      <w:r>
        <w:t xml:space="preserve"> or </w:t>
      </w:r>
      <w:r>
        <w:t>7004</w:t>
      </w:r>
      <w:r>
        <w:t xml:space="preserve">.  The hospital shall notify and obtain the consent of that minor's parent or guardian if that hospitalization continues for more than 16 hours.</w:t>
      </w:r>
      <w:r>
        <w:t xml:space="preserve">  </w:t>
      </w:r>
      <w:r xmlns:wp="http://schemas.openxmlformats.org/drawingml/2010/wordprocessingDrawing" xmlns:w15="http://schemas.microsoft.com/office/word/2012/wordml">
        <w:rPr>
          <w:rFonts w:ascii="Arial" w:hAnsi="Arial" w:cs="Arial"/>
          <w:sz w:val="22"/>
          <w:szCs w:val="22"/>
        </w:rPr>
        <w:t xml:space="preserve">[PL 2019,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145, §6 (NEW). PL 1977, c. 78, §146 (AMD). PL 1979, c. 96, §1 (AMD). PL 1979, c. 127, §142 (AMD). PL 1979, c. 663, §134 (AMD). PL 1999, c. 90, §2 (AMD). PL 2017, c. 407, Pt. A, §73 (AMD). PL 2019,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§1823.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