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2038</w:t>
        <w:t xml:space="preserve">.  </w:t>
      </w:r>
      <w:r>
        <w:rPr>
          <w:b/>
        </w:rPr>
        <w:t xml:space="preserve">Penalties</w:t>
      </w:r>
    </w:p>
    <w:p>
      <w:pPr>
        <w:jc w:val="both"/>
        <w:spacing w:before="100" w:after="100"/>
        <w:ind w:start="360"/>
        <w:ind w:firstLine="360"/>
      </w:pPr>
      <w:r>
        <w:rPr/>
      </w:r>
      <w:r>
        <w:rPr/>
      </w:r>
      <w:r>
        <w:t xml:space="preserve">The performance of any of the acts specified in </w:t>
      </w:r>
      <w:r>
        <w:t>section 2037</w:t>
      </w:r>
      <w:r>
        <w:t xml:space="preserve"> shall constitute a misdemeanor punishable, upon conviction, by a fine of not less than $50 nor more than $500, or by imprisonment for not more than one year, or by both.</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§2038.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