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2066</w:t>
        <w:t xml:space="preserve">.  </w:t>
      </w:r>
      <w:r>
        <w:rPr>
          <w:b/>
        </w:rPr>
        <w:t xml:space="preserve">Enforcement of rights and duties</w:t>
      </w:r>
    </w:p>
    <w:p>
      <w:pPr>
        <w:jc w:val="both"/>
        <w:spacing w:before="100" w:after="100"/>
        <w:ind w:start="360"/>
        <w:ind w:firstLine="360"/>
      </w:pPr>
      <w:r>
        <w:rPr/>
      </w:r>
      <w:r>
        <w:rPr/>
      </w:r>
      <w:r>
        <w:t xml:space="preserve">Any holder of bonds, notes, bond anticipation notes, other notes or other obligations issued under this chapter or any of the coupons appertaining thereto, and the trustee or trustees under any trust agreement, except to the extent the rights herein given may be restricted by any resolution authorizing the issuance of, or any such trust agreement securing, such bonds, may, either at law or in equity, by suit, action, mandamus or other proceedings, protect and enforce any and all rights under the laws of the State or granted under this chapter or under such resolution or trust agreement, and may enforce and compel the performance of all duties required by this chapter or by such resolution or trust agreement to be performed by the authority or by any officer, employee or agent thereof, including the fixing, charging and collecting of the rates, rents, fees and charges herein authorized and required by such resolution or trust agreement to be fixed, established and collected.</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§2066. Enforcement of rights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§2066. Enforcement of rights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§2066. ENFORCEMENT OF RIGHTS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