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2091</w:t>
        <w:t xml:space="preserve">.  </w:t>
      </w:r>
      <w:r>
        <w:rPr>
          <w:b/>
        </w:rPr>
        <w:t xml:space="preserve">Short title</w:t>
      </w:r>
    </w:p>
    <w:p>
      <w:pPr>
        <w:jc w:val="both"/>
        <w:spacing w:before="100" w:after="100"/>
        <w:ind w:start="360"/>
        <w:ind w:firstLine="360"/>
      </w:pPr>
      <w:r>
        <w:rPr/>
      </w:r>
      <w:r>
        <w:rPr/>
      </w:r>
      <w:r>
        <w:t xml:space="preserve">This chapter may be cited as the 1975 Dental Health Act.</w:t>
      </w:r>
      <w:r>
        <w:t xml:space="preserve">  </w:t>
      </w:r>
      <w:r xmlns:wp="http://schemas.openxmlformats.org/drawingml/2010/wordprocessingDrawing" xmlns:w15="http://schemas.microsoft.com/office/word/2012/wordml">
        <w:rPr>
          <w:rFonts w:ascii="Arial" w:hAnsi="Arial" w:cs="Arial"/>
          <w:sz w:val="22"/>
          <w:szCs w:val="22"/>
        </w:rPr>
        <w:t xml:space="preserve">[P&amp;SL 1975, c. 90,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§§SEC.A,1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§2091.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§2091.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