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2092</w:t>
        <w:t xml:space="preserve">.  </w:t>
      </w:r>
      <w:r>
        <w:rPr>
          <w:b/>
        </w:rPr>
        <w:t xml:space="preserve">Definitions</w:t>
      </w:r>
    </w:p>
    <w:p>
      <w:pPr>
        <w:jc w:val="both"/>
        <w:spacing w:before="100" w:after="100"/>
        <w:ind w:start="360"/>
        <w:ind w:firstLine="360"/>
      </w:pPr>
      <w:r>
        <w:rPr/>
      </w:r>
      <w:r>
        <w:rPr/>
      </w:r>
      <w:r>
        <w:t xml:space="preserve">For the purposes of this chapter, unless the content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 or the commissioner's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§7 (REV).]</w:t>
      </w:r>
    </w:p>
    <w:p>
      <w:pPr>
        <w:jc w:val="both"/>
        <w:spacing w:before="100" w:after="100"/>
        <w:ind w:start="360"/>
        <w:ind w:firstLine="360"/>
      </w:pPr>
      <w:r>
        <w:rPr>
          <w:b/>
        </w:rPr>
        <w:t>2</w:t>
        <w:t xml:space="preserve">.  </w:t>
      </w:r>
      <w:r>
        <w:rPr>
          <w:b/>
        </w:rPr>
        <w:t xml:space="preserve">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D, §2 (RP).]</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Division of Dental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1991, c. 152, §1 (AMD). PL 1993, c. 360, §D2 (AMD).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