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2138</w:t>
        <w:t xml:space="preserve">.  </w:t>
      </w:r>
      <w:r>
        <w:rPr>
          <w:b/>
        </w:rPr>
        <w:t xml:space="preserve">Prohibited employment based on disqualifying offenses</w:t>
      </w:r>
    </w:p>
    <w:p>
      <w:pPr>
        <w:jc w:val="both"/>
        <w:spacing w:before="100" w:after="100"/>
        <w:ind w:start="360"/>
        <w:ind w:firstLine="360"/>
      </w:pPr>
      <w:r>
        <w:rPr/>
      </w:r>
      <w:r>
        <w:rPr/>
      </w:r>
      <w:r>
        <w:t xml:space="preserve">A temporary nurse agency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494, Pt. A, §19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§19 (NEW).]</w:t>
      </w:r>
    </w:p>
    <w:p>
      <w:pPr>
        <w:jc w:val="both"/>
        <w:spacing w:before="100" w:after="0"/>
        <w:ind w:start="360"/>
        <w:ind w:firstLine="360"/>
      </w:pPr>
      <w:r>
        <w:rPr>
          <w:b/>
        </w:rPr>
        <w:t>1</w:t>
        <w:t xml:space="preserve">.  </w:t>
      </w:r>
      <w:r>
        <w:rPr>
          <w:b/>
        </w:rPr>
        <w:t xml:space="preserve">Subject of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2</w:t>
        <w:t xml:space="preserve">.  </w:t>
      </w:r>
      <w:r>
        <w:rPr>
          <w:b/>
        </w:rPr>
        <w:t xml:space="preserve">Convicted of crime involving abuse, neglect or misappropriation.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3</w:t>
        <w:t xml:space="preserve">.  </w:t>
      </w:r>
      <w:r>
        <w:rPr>
          <w:b/>
        </w:rPr>
        <w:t xml:space="preserve">Other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2011, c. 257, §16 (AMD). PL 2015, c. 196, §11 (RPR). PL 2015, c. 299, §19 (RPR). PL 2015, c. 494,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§2138. Prohibited employment based on disqualifying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§2138. Prohibited employment based on disqualifying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§2138. PROHIBITED EMPLOYMENT BASED ON DISQUALIFYING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