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2149-B</w:t>
        <w:t xml:space="preserve">.  </w:t>
      </w:r>
      <w:r>
        <w:rPr>
          <w:b/>
        </w:rPr>
        <w:t xml:space="preserve">Home health aide services to minors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412, Pt. GGG, §5)</w:t>
      </w:r>
    </w:p>
    <w:p>
      <w:pPr>
        <w:jc w:val="both"/>
        <w:spacing w:before="100" w:after="100"/>
        <w:ind w:start="360"/>
        <w:ind w:firstLine="360"/>
      </w:pPr>
      <w:r>
        <w:rPr/>
      </w:r>
      <w:r>
        <w:rPr/>
      </w:r>
      <w:r>
        <w:t xml:space="preserve">Notwithstanding </w:t>
      </w:r>
      <w:r>
        <w:t>section 2147, subsection 2</w:t>
      </w:r>
      <w:r>
        <w:t xml:space="preserve">, a parent of a child who is eligible for home health aide services under the MaineCare program may receive reimbursement for providing those services to the child pursuant to this section and according to department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 §1 (NEW); PL 2023, c. 412, Pt. GGG,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 §1 (NEW). PL 2023, c. 412, Pt. GGG,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§2149-B. Home health aide services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§2149-B. Home health aide services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§2149-B. HOME HEALTH AIDE SERVICES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