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w:t>
      </w:r>
    </w:p>
    <w:p>
      <w:pPr>
        <w:jc w:val="both"/>
        <w:spacing w:before="100" w:after="100"/>
        <w:ind w:start="360"/>
        <w:ind w:firstLine="360"/>
      </w:pPr>
      <w:r>
        <w:rPr/>
      </w:r>
      <w:r>
        <w:rPr/>
      </w:r>
      <w:r>
        <w:t xml:space="preserve">In addition to the remedies provided, the Commissioner of Agriculture, Conservation and Forestry is authorized to apply to the Superior Court and such court has jurisdiction upon hearing and for cause shown to grant a preliminary or permanent injunction restraining any person from violating any provision of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§72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§72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