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Photographs on electronic benefits transfer cards</w:t>
      </w:r>
    </w:p>
    <w:p>
      <w:pPr>
        <w:jc w:val="both"/>
        <w:spacing w:before="100" w:after="100"/>
        <w:ind w:start="360"/>
        <w:ind w:firstLine="360"/>
      </w:pPr>
      <w:r>
        <w:rPr/>
      </w:r>
      <w:r>
        <w:rPr/>
      </w:r>
      <w:r>
        <w:t xml:space="preserve">The commissioner shall place a photograph of a recipient of benefits under a program specified in </w:t>
      </w:r>
      <w:r>
        <w:t>section 22</w:t>
      </w:r>
      <w:r>
        <w:t xml:space="preserve"> on the recipient's electronic benefits transfer card if agreed to in writing by the recipient.  When a recipient of benefits is a minor or incapacitated individual, the commissioner may place a photograph of the recipient's parent or legal guardian on the EBT card if agreed to in writing by that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 Photographs on electronic benefits transfer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Photographs on electronic benefits transfer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 PHOTOGRAPHS ON ELECTRONIC BENEFITS TRANSFER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