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2494</w:t>
        <w:t xml:space="preserve">.  </w:t>
      </w:r>
      <w:r>
        <w:rPr>
          <w:b/>
        </w:rPr>
        <w:t xml:space="preserve">Fees</w:t>
      </w:r>
    </w:p>
    <w:p>
      <w:pPr>
        <w:jc w:val="both"/>
        <w:spacing w:before="100" w:after="100"/>
        <w:ind w:start="360"/>
        <w:ind w:firstLine="360"/>
      </w:pPr>
      <w:r>
        <w:rPr/>
      </w:r>
      <w:r>
        <w:rPr/>
      </w:r>
      <w:r>
        <w:t xml:space="preserve">Each application for, or for renewal of, a license to operate an eating establishment, lodging place, recreational camp, youth camp, public pool, public spa or campground within the meaning of this chapter must be accompanied by a fee, appropriate to the size of the establishment, place, camp, pool, spa or area of the licensee, determined by the department and not to exceed the fees listed below.  All fees collected by the department must be deposited into a special revenue account established for this purpose.  No such fee may be refunded.  No license may be assignable or transferable.  The fees may not exceed:</w:t>
      </w:r>
      <w:r>
        <w:t xml:space="preserve">  </w:t>
      </w:r>
      <w:r xmlns:wp="http://schemas.openxmlformats.org/drawingml/2010/wordprocessingDrawing" xmlns:w15="http://schemas.microsoft.com/office/word/2012/wordml">
        <w:rPr>
          <w:rFonts w:ascii="Arial" w:hAnsi="Arial" w:cs="Arial"/>
          <w:sz w:val="22"/>
          <w:szCs w:val="22"/>
        </w:rPr>
        <w:t xml:space="preserve">[PL 2021, c. 125, §11 (AMD).]</w:t>
      </w:r>
    </w:p>
    <w:p>
      <w:pPr>
        <w:jc w:val="both"/>
        <w:spacing w:before="100" w:after="100"/>
        <w:ind w:start="360"/>
        <w:ind w:firstLine="360"/>
      </w:pPr>
      <w:r>
        <w:rPr>
          <w:b/>
        </w:rPr>
        <w:t>1</w:t>
        <w:t xml:space="preserve">.  </w:t>
      </w:r>
      <w:r>
        <w:rPr>
          <w:b/>
        </w:rPr>
        <w:t xml:space="preserve">One hundred dollars.</w:t>
        <w:t xml:space="preserve"> </w:t>
      </w:r>
      <w:r>
        <w:t xml:space="preserve"> </w:t>
      </w:r>
      <w:r>
        <w:t xml:space="preserve">One hundred dollars for:</w:t>
      </w:r>
    </w:p>
    <w:p>
      <w:pPr>
        <w:jc w:val="both"/>
        <w:spacing w:before="100" w:after="0"/>
        <w:ind w:start="720"/>
      </w:pPr>
      <w:r>
        <w:rPr/>
        <w:t>A</w:t>
        <w:t xml:space="preserve">.  </w:t>
      </w:r>
      <w:r>
        <w:rPr/>
      </w:r>
      <w:r>
        <w:t xml:space="preserve">Public schools governed by a school board of an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B</w:t>
        <w:t xml:space="preserve">.  </w:t>
      </w:r>
      <w:r>
        <w:rPr/>
      </w:r>
      <w:r>
        <w:t xml:space="preserve">Private secondary schools approved for tuition when school enrollments are at least 60% publicly funded students as determined by the previous school year's October to April average enrollment; and</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C</w:t>
        <w:t xml:space="preserve">.  </w:t>
      </w:r>
      <w:r>
        <w:rPr/>
      </w:r>
      <w:r>
        <w:t xml:space="preserve">Schools operated by an agency of State Government for the education of children in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§1 (AMD).]</w:t>
      </w:r>
    </w:p>
    <w:p>
      <w:pPr>
        <w:jc w:val="both"/>
        <w:spacing w:before="100" w:after="0"/>
        <w:ind w:start="360"/>
        <w:ind w:firstLine="360"/>
      </w:pPr>
      <w:r>
        <w:rPr>
          <w:b/>
        </w:rPr>
        <w:t>2</w:t>
        <w:t xml:space="preserve">.  </w:t>
      </w:r>
      <w:r>
        <w:rPr>
          <w:b/>
        </w:rPr>
        <w:t xml:space="preserve">One hundred dollars.</w:t>
        <w:t xml:space="preserve"> </w:t>
      </w:r>
      <w:r>
        <w:t xml:space="preserve"> </w:t>
      </w:r>
      <w:r>
        <w:t xml:space="preserve">One hundred dollars for an establishment that is located in a municipality that requires local inspections of establishments to cover the costs of standardizing inspection practices; administrative licensing and maintaining a centralized database; ongoing training, investigation, compliance and technical assistance; and legal interpretation and advice;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§12 (AMD).]</w:t>
      </w:r>
    </w:p>
    <w:p>
      <w:pPr>
        <w:jc w:val="both"/>
        <w:spacing w:before="100" w:after="0"/>
        <w:ind w:start="360"/>
        <w:ind w:firstLine="360"/>
      </w:pPr>
      <w:r>
        <w:rPr>
          <w:b/>
        </w:rPr>
        <w:t>3</w:t>
        <w:t xml:space="preserve">.  </w:t>
      </w:r>
      <w:r>
        <w:rPr>
          <w:b/>
        </w:rPr>
        <w:t xml:space="preserve">Three hundred dollars.</w:t>
        <w:t xml:space="preserve"> </w:t>
      </w:r>
      <w:r>
        <w:t xml:space="preserve"> </w:t>
      </w:r>
      <w:r>
        <w:t xml:space="preserve">Three hundred dollars for all other establishments, places and camps not included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§2 (AMD).]</w:t>
      </w:r>
    </w:p>
    <w:p>
      <w:pPr>
        <w:jc w:val="both"/>
        <w:spacing w:before="100" w:after="100"/>
        <w:ind w:start="360"/>
        <w:ind w:firstLine="360"/>
      </w:pPr>
      <w:r>
        <w:rPr/>
      </w:r>
      <w:r>
        <w:rPr/>
      </w:r>
      <w:r>
        <w:t xml:space="preserve">All such fees are for the license, one licensure inspection and one follow-up inspection.  When additional inspections are required to determine an applicant's eligibility for licensure, the department is authorized through its rules to charge an additional fee not to exceed $100 to cover the costs of each additional inspection or visit.  Failure to pay such charges within 30 days of the billing date constitutes grounds for revocation of the license, unless an extension for a period not to exceed 60 days is granted in writing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375,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1981, c. 703, §§A17,A18 (AMD). PL 1983, c. 553, §20 (AMD). PL 1987, c. 838, §1 (AMD). PL 2003, c. 673, §X1 (AMD). PL 2007, c. 539, Pt. F, §1 (AMD). PL 2009, c. 211, Pt. A, §7 (AMD). PL 2009, c. 589, §2 (AMD). PL 2011, c. 193, Pt. B, §§1, 2 (AMD). PL 2011, c. 375, §1 (AMD). PL 2017, c. 322, §5 (AMD). PL 2021, c. 125,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