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Penalties</w:t>
      </w:r>
    </w:p>
    <w:p>
      <w:pPr>
        <w:jc w:val="both"/>
        <w:spacing w:before="100" w:after="100"/>
        <w:ind w:start="360"/>
        <w:ind w:firstLine="360"/>
      </w:pPr>
      <w:r>
        <w:rPr/>
      </w:r>
      <w:r>
        <w:rPr/>
      </w:r>
      <w:r>
        <w:t xml:space="preserve">A person who intentionally or knowingly violates any provision of </w:t>
      </w:r>
      <w:r>
        <w:t>section 451</w:t>
      </w:r>
      <w:r>
        <w:t xml:space="preserve">, </w:t>
      </w:r>
      <w:r>
        <w:t>454‑A</w:t>
      </w:r>
      <w:r>
        <w:t xml:space="preserve">, </w:t>
      </w:r>
      <w:r>
        <w:t>461</w:t>
      </w:r>
      <w:r>
        <w:t xml:space="preserve"> or </w:t>
      </w:r>
      <w:r>
        <w:t>462</w:t>
      </w:r>
      <w:r>
        <w:t xml:space="preserve">, or of rules adopted pursuant to those sections, or neglects or refuses to obey any order or direction of any local health officer authorized by those provisions, the penalty for which is not specifically provided, or  intentionally or knowingly interferes with any person or thing to prevent the execution of those sections or of the rules,  commits a civil violation for which a fine of not more than $500 may be adjudged. The District Court  has jurisdiction of all offenses under these sections.</w:t>
      </w:r>
      <w:r>
        <w:t xml:space="preserve">  </w:t>
      </w:r>
      <w:r xmlns:wp="http://schemas.openxmlformats.org/drawingml/2010/wordprocessingDrawing" xmlns:w15="http://schemas.microsoft.com/office/word/2012/wordml">
        <w:rPr>
          <w:rFonts w:ascii="Arial" w:hAnsi="Arial" w:cs="Arial"/>
          <w:sz w:val="22"/>
          <w:szCs w:val="22"/>
        </w:rPr>
        <w:t xml:space="preserve">[PL 2007, c. 598,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§141 (AMD). PL 1989, c. 487, §2 (AMD). PL 2007,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