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Healthy Maine Prescription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 HEALTHY MAINE PRESCRIPTION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