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Scope</w:t>
      </w:r>
    </w:p>
    <w:p>
      <w:pPr>
        <w:jc w:val="both"/>
        <w:spacing w:before="100" w:after="100"/>
        <w:ind w:start="360"/>
        <w:ind w:firstLine="360"/>
      </w:pPr>
      <w:r>
        <w:rPr/>
      </w:r>
      <w:r>
        <w:rPr/>
      </w:r>
      <w:r>
        <w:t xml:space="preserve">This chapter establishes a system designed to help ensure public health; to allow the State, municipalities and public water systems to identify significant public water supplies and strive for a higher degree of protection around source water areas or areas that are used as public drinking water supplies; to allow the State, municipalities and water systems to pursue watershed or wellhead protection activities around significant public water supplies; and to improve testing for and treatment of contaminants or properties in residential private drinking water wells.</w:t>
      </w:r>
      <w:r>
        <w:t xml:space="preserve">  </w:t>
      </w:r>
      <w:r xmlns:wp="http://schemas.openxmlformats.org/drawingml/2010/wordprocessingDrawing" xmlns:w15="http://schemas.microsoft.com/office/word/2012/wordml">
        <w:rPr>
          <w:rFonts w:ascii="Arial" w:hAnsi="Arial" w:cs="Arial"/>
          <w:sz w:val="22"/>
          <w:szCs w:val="22"/>
        </w:rPr>
        <w:t xml:space="preserve">[PL 2017, c. 230,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 (NEW). PL 2017, c. 230,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§2601-A.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§2601-A.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