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General authorization</w:t>
      </w:r>
    </w:p>
    <w:p>
      <w:pPr>
        <w:jc w:val="both"/>
        <w:spacing w:before="100" w:after="100"/>
        <w:ind w:start="360"/>
        <w:ind w:firstLine="360"/>
      </w:pPr>
      <w:r>
        <w:rPr/>
      </w:r>
      <w:r>
        <w:rPr/>
      </w:r>
      <w:r>
        <w:t xml:space="preserve">In accordance with the process outlined in </w:t>
      </w:r>
      <w:r>
        <w:t>section 2619</w:t>
      </w:r>
      <w:r>
        <w:t xml:space="preserve">, the commissioner may impose one or more of the administrative remedies provided in this subchapter when a violation of this chapter, or rules adopted pursuant to this chapter, occurs or if the commissioner determines that administrative remedies are necessary and appropriate to ensure compliance with state drinking water laws, regulations and rules.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§2618. General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General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§2618. GENERAL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