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2620-C</w:t>
        <w:t xml:space="preserve">.  </w:t>
      </w:r>
      <w:r>
        <w:rPr>
          <w:b/>
        </w:rPr>
        <w:t xml:space="preserve">Rules</w:t>
      </w:r>
    </w:p>
    <w:p>
      <w:pPr>
        <w:jc w:val="both"/>
        <w:spacing w:before="100" w:after="100"/>
        <w:ind w:start="360"/>
        <w:ind w:firstLine="360"/>
      </w:pPr>
      <w:r>
        <w:rPr/>
      </w:r>
      <w:r>
        <w:rPr/>
      </w:r>
      <w:r>
        <w:t xml:space="preserve">The commissioner shall adopt rules establishing procedures regarding notice and the issuance, amendment and withdrawal of administrative compliance orders and administrative consent orders.</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w:pPr>
        <w:jc w:val="both"/>
        <w:spacing w:before="100" w:after="100"/>
        <w:ind w:start="360"/>
        <w:ind w:firstLine="360"/>
      </w:pPr>
      <w:r>
        <w:rPr/>
      </w:r>
      <w:r>
        <w:rPr/>
      </w:r>
      <w:r>
        <w:t xml:space="preserve">The commissioner may adopt rules establishing a permitting process for public water systems.  Rules adopted pursuant to this paragraph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PL 1997, c. 705,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