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2660-U</w:t>
        <w:t xml:space="preserve">.  </w:t>
      </w:r>
      <w:r>
        <w:rPr>
          <w:b/>
        </w:rPr>
        <w:t xml:space="preserve">Fees</w:t>
      </w:r>
    </w:p>
    <w:p>
      <w:pPr>
        <w:jc w:val="both"/>
        <w:spacing w:before="100" w:after="100"/>
        <w:ind w:start="360"/>
        <w:ind w:firstLine="360"/>
      </w:pPr>
      <w:r>
        <w:rPr/>
      </w:r>
      <w:r>
        <w:rPr/>
      </w:r>
      <w:r>
        <w:t xml:space="preserve">Except as provided in </w:t>
      </w:r>
      <w:r>
        <w:t>section 2602‑A, subsection 3</w:t>
      </w:r>
      <w:r>
        <w:t xml:space="preserve">, the Health and Environmental Testing Laboratory established in </w:t>
      </w:r>
      <w:r>
        <w:t>section 565</w:t>
      </w:r>
      <w:r>
        <w:t xml:space="preserve"> shall collect a fee not to exceed $10 from a person or entity ordering a water test for a water sample from a residential private drinking water well.  The fees collected must be credited to the Private Well Safe Drinking Water Fund established in </w:t>
      </w:r>
      <w:r>
        <w:t>section 2660‑W</w:t>
      </w:r>
      <w:r>
        <w:t xml:space="preserve"> and used for the purpose of increasing testing of residential private drinking water wells.  If more than one test of a water sample from the same residential private drinking water well is conducted, the department may waive payment of a fee established under this section for a one-year period.  A fee collected under this section is in addition to any fee charged by the department pursuant to </w:t>
      </w:r>
      <w:r>
        <w:t>section 2602‑A,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2017, c. 475, Pt. C, §7 (AMD). PL 2021, c. 483, Pt. BB,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§2660-U.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§2660-U.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§2660-U.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