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2677</w:t>
        <w:t xml:space="preserve">.  </w:t>
      </w:r>
      <w:r>
        <w:rPr>
          <w:b/>
        </w:rPr>
        <w:t xml:space="preserve">Optional participation of health care practitioners and providers</w:t>
      </w:r>
    </w:p>
    <w:p>
      <w:pPr>
        <w:jc w:val="both"/>
        <w:spacing w:before="100" w:after="100"/>
        <w:ind w:start="360"/>
        <w:ind w:firstLine="360"/>
      </w:pPr>
      <w:r>
        <w:rPr/>
      </w:r>
      <w:r>
        <w:rPr/>
      </w:r>
      <w:r>
        <w:t xml:space="preserve">This chapter does not require a health care practitioner who is licensed in the State or a health care provider that is licensed in the State to provide any service related to an investigational drug, biological product or device.</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§2677. Optional participation of health care practitioners and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§2677. Optional participation of health care practitioners and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§2677. OPTIONAL PARTICIPATION OF HEALTH CARE PRACTITIONERS AND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