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2687</w:t>
        <w:t xml:space="preserve">.  </w:t>
      </w:r>
      <w:r>
        <w:rPr>
          <w:b/>
        </w:rPr>
        <w:t xml:space="preserve">Maximum allowable cost list</w:t>
      </w:r>
    </w:p>
    <w:p>
      <w:pPr>
        <w:jc w:val="both"/>
        <w:spacing w:before="100" w:after="0"/>
        <w:ind w:start="360"/>
        <w:ind w:firstLine="360"/>
      </w:pPr>
      <w:r>
        <w:rPr>
          <w:b/>
        </w:rPr>
        <w:t>1</w:t>
        <w:t xml:space="preserve">.  </w:t>
      </w:r>
      <w:r>
        <w:rPr>
          <w:b/>
        </w:rPr>
        <w:t xml:space="preserve">Comment period.</w:t>
        <w:t xml:space="preserve"> </w:t>
      </w:r>
      <w:r>
        <w:t xml:space="preserve"> </w:t>
      </w:r>
      <w:r>
        <w:t xml:space="preserve">The Department of Health and Human Services, office of MaineCare services shall establish a 17-day written comment period on any proposed change to the state maximum allowable cost list if the change results in a reduction in payment to pharmacies.  The written comment period must be held in compliance with the Maine Administrative Procedure Act.  A change in the maximum allowable cost list that will result in a reduction in payment to pharmacies may not take effect for at least 30 days and not until 30 days after the office of MaineCare services has completed its response to any written comments.  For the purposes of this section, "maximum allowable cost list" means a list of prescription drugs that bases reimbursement on the cost of the generic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w:t>
      </w:r>
    </w:p>
    <w:p>
      <w:pPr>
        <w:jc w:val="both"/>
        <w:spacing w:before="100" w:after="0"/>
        <w:ind w:start="360"/>
        <w:ind w:firstLine="360"/>
      </w:pPr>
      <w:r>
        <w:rPr>
          <w:b/>
        </w:rPr>
        <w:t>2</w:t>
        <w:t xml:space="preserve">.  </w:t>
      </w:r>
      <w:r>
        <w:rPr>
          <w:b/>
        </w:rPr>
        <w:t xml:space="preserve">Report.</w:t>
        <w:t xml:space="preserve"> </w:t>
      </w:r>
      <w:r>
        <w:t xml:space="preserve"> </w:t>
      </w:r>
      <w:r>
        <w:t xml:space="preserve">The Department of Health and Human Services, office of MaineCare services shall prepare an annual report that summarizes the number of drugs affected by changes made to the maximum allowable cost list under </w:t>
      </w:r>
      <w:r>
        <w:t>subsection 1</w:t>
      </w:r>
      <w:r>
        <w:t xml:space="preserve"> and the percentage change in payment for those drugs that resulted from changes to the list during the calendar year.  The office of MaineCare services shall file the report annually by December 31st with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of Health and Human Services, office of MaineCare services shall amend its rules to implement the provisions of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§2687. Maximum allowable cost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§2687. Maximum allowable cost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§2687. MAXIMUM ALLOWABLE COST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