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or cremate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§31 (RPR).]</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and crematories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w:t>
      </w:r>
      <w:r>
        <w:t>subsection 4</w:t>
      </w:r>
      <w:r>
        <w:t xml:space="preserve"> a funeral director or practitioner of funeral service who has physical possession of the remains or a dead body may embalm or refrigerate and shelter the remains or a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C</w:t>
        <w:t xml:space="preserve">.  </w:t>
      </w:r>
      <w:r>
        <w:rPr/>
      </w:r>
      <w:r>
        <w:t xml:space="preserve">A person who signs a statement of funeral goods and services, cremation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D</w:t>
        <w:t xml:space="preserve">.  </w:t>
      </w:r>
      <w:r>
        <w:rPr/>
      </w:r>
      <w:r>
        <w:t xml:space="preserve">A funeral director or practitioner of funeral service, cemetery or crematory may rely on a statement of funeral goods and services, cremation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E</w:t>
        <w:t xml:space="preserve">.  </w:t>
      </w:r>
      <w:r>
        <w:rPr/>
      </w:r>
      <w:r>
        <w:t xml:space="preserve">A funeral director or practitioner of funeral service, cemetery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F</w:t>
        <w:t xml:space="preserve">.  </w:t>
      </w:r>
      <w:r>
        <w:rPr/>
      </w:r>
      <w:r>
        <w:t xml:space="preserve">Upon cremation of the remains or dead body, the crematory shall prepare a certificate of cremation signed and dated by the person in charge of the cremation indicating the date of cremation and the identity of the cremated remains or dead body as identified by the funeral director or practitioner of funeral service or the cremation authorization form, including the deceased person's full name, date and place of death, gender and veteran status.  The crematory shall provide the certificate of cremation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2017, c. 101,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§2843-A. CUSTODY OF REMAINS OF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