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2928</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186 (NEW). PL 1989, c. 830,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§2928.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§2928.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