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3173-F</w:t>
        <w:t xml:space="preserve">.  </w:t>
      </w:r>
      <w:r>
        <w:rPr>
          <w:b/>
        </w:rPr>
        <w:t xml:space="preserve">Charging or increasing premiums</w:t>
      </w:r>
    </w:p>
    <w:p>
      <w:pPr>
        <w:jc w:val="both"/>
        <w:spacing w:before="100" w:after="0"/>
        <w:ind w:start="360"/>
        <w:ind w:firstLine="360"/>
      </w:pPr>
      <w:r>
        <w:rPr>
          <w:b/>
        </w:rPr>
        <w:t>1</w:t>
        <w:t xml:space="preserve">.  </w:t>
      </w:r>
      <w:r>
        <w:rPr>
          <w:b/>
        </w:rPr>
        <w:t xml:space="preserve">Premiums.</w:t>
        <w:t xml:space="preserve"> </w:t>
      </w:r>
      <w:r>
        <w:t xml:space="preserve"> </w:t>
      </w:r>
      <w:r>
        <w:t xml:space="preserve">The department may apply to the federal Centers for Medicare and Medicaid Services for a waiver or amend a pending or current waiver under the Medicaid program authorizing the department to impose cost sharing on some or all persons eligible for MaineCare under the Katie Beckett option authorized by the federal Tax Equity and Fiscal Responsibility Act of 1982.  Premiums must be implemented on a sliding scale.  The department must consult with stakeholders prior to implementing changes under this section and comply with applicable federal requirements regarding public participation in the development of the Katie Beckett waiver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633, §1 (AMD).]</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shall adopt rules providing for sanctions when complete, timely payment of premiums has not been made and providing grace periods applicable to such late or incomplete payments and allowing waiver of premiums for good cause.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K, §9 (NEW).]</w:t>
      </w:r>
    </w:p>
    <w:p>
      <w:pPr>
        <w:jc w:val="both"/>
        <w:spacing w:before="100" w:after="0"/>
        <w:ind w:start="360"/>
        <w:ind w:firstLine="360"/>
      </w:pPr>
      <w:r>
        <w:rPr>
          <w:b/>
        </w:rPr>
        <w:t>3</w:t>
        <w:t xml:space="preserve">.  </w:t>
      </w:r>
      <w:r>
        <w:rPr>
          <w:b/>
        </w:rPr>
        <w:t xml:space="preserve">Copayments.</w:t>
        <w:t xml:space="preserve"> </w:t>
      </w:r>
      <w:r>
        <w:t xml:space="preserve"> </w:t>
      </w:r>
      <w:r>
        <w:t xml:space="preserve">The department may request, as part of the waiver request under </w:t>
      </w:r>
      <w:r>
        <w:t>subsection 1</w:t>
      </w:r>
      <w:r>
        <w:t xml:space="preserve">, permission to charge members copayments above those allowed in current federal regulation and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K,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§K9 (NEW). PL 2005, c. 633,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§3173-F. Charging or increasing premiums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§3173-F. Charging or increasing premiums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§3173-F. CHARGING OR INCREASING PREMIUMS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